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F46CA2">
      <w:pPr>
        <w:spacing w:line="360" w:lineRule="auto"/>
        <w:jc w:val="center"/>
        <w:rPr>
          <w:rFonts w:hint="eastAsia" w:ascii="方正小标宋简体" w:hAnsi="宋体" w:eastAsia="方正小标宋简体" w:cs="宋体"/>
          <w:sz w:val="36"/>
          <w:szCs w:val="36"/>
        </w:rPr>
      </w:pPr>
      <w:r>
        <w:rPr>
          <w:rFonts w:hint="eastAsia" w:ascii="方正小标宋简体" w:hAnsi="宋体" w:eastAsia="方正小标宋简体" w:cs="宋体"/>
          <w:sz w:val="36"/>
          <w:szCs w:val="36"/>
        </w:rPr>
        <w:t>首都机场集团202</w:t>
      </w:r>
      <w:r>
        <w:rPr>
          <w:rFonts w:hint="eastAsia" w:ascii="方正小标宋简体" w:hAnsi="宋体" w:eastAsia="方正小标宋简体" w:cs="宋体"/>
          <w:sz w:val="36"/>
          <w:szCs w:val="36"/>
          <w:lang w:val="en-US" w:eastAsia="zh-CN"/>
        </w:rPr>
        <w:t>7</w:t>
      </w:r>
      <w:r>
        <w:rPr>
          <w:rFonts w:hint="eastAsia" w:ascii="方正小标宋简体" w:hAnsi="宋体" w:eastAsia="方正小标宋简体" w:cs="宋体"/>
          <w:sz w:val="36"/>
          <w:szCs w:val="36"/>
        </w:rPr>
        <w:t>博士后研究人员招聘公告</w:t>
      </w:r>
    </w:p>
    <w:p w14:paraId="70F85678">
      <w:pPr>
        <w:spacing w:line="360" w:lineRule="auto"/>
        <w:rPr>
          <w:rFonts w:hint="eastAsia" w:ascii="宋体" w:hAnsi="宋体" w:eastAsia="宋体" w:cs="宋体"/>
          <w:sz w:val="24"/>
        </w:rPr>
      </w:pPr>
    </w:p>
    <w:p w14:paraId="021A2EB6">
      <w:pPr>
        <w:spacing w:line="360" w:lineRule="auto"/>
        <w:ind w:firstLine="643" w:firstLineChars="200"/>
        <w:rPr>
          <w:rFonts w:hint="eastAsia" w:ascii="仿宋_GB2312" w:hAnsi="宋体" w:eastAsia="仿宋_GB2312" w:cs="宋体"/>
          <w:b/>
          <w:bCs/>
          <w:sz w:val="32"/>
          <w:szCs w:val="32"/>
        </w:rPr>
      </w:pPr>
      <w:r>
        <w:rPr>
          <w:rFonts w:hint="eastAsia" w:ascii="仿宋_GB2312" w:hAnsi="宋体" w:eastAsia="仿宋_GB2312" w:cs="宋体"/>
          <w:b/>
          <w:bCs/>
          <w:sz w:val="32"/>
          <w:szCs w:val="32"/>
        </w:rPr>
        <w:t>一、企业简介</w:t>
      </w:r>
    </w:p>
    <w:p w14:paraId="417EABFF">
      <w:pPr>
        <w:spacing w:line="360" w:lineRule="auto"/>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首都机场集团有限公司（Capital Airports Holdings Co.,Ltd. 简称CAH）隶属于中国民用航空局，是一家以机场业为核心的跨地域的大型国有独资公司。2002年12月28日，由原北京首都机场集团公司、北京首都国际机场股份有限公司（BCIA）、天津滨海国际机场、中国民航机场建设总公司、金飞民航经济发展有限公司、中国民航工程咨询公司联合重组成立。目前管理着北京、天津、河北、江西、吉林、黑龙江等6省市35个干、支线机场，形成了机场运营、机场保障、机场商业、临空生态四个板块协同发展的业务布局。2025年，首都机场集团完成旅客吞吐量、货邮吞吐量和运输架次分别达到2.23亿人次、243.4万吨和152万架次。</w:t>
      </w:r>
    </w:p>
    <w:p w14:paraId="3399321A">
      <w:pPr>
        <w:spacing w:line="360" w:lineRule="auto"/>
        <w:ind w:firstLine="643" w:firstLineChars="200"/>
        <w:rPr>
          <w:rFonts w:hint="eastAsia" w:ascii="仿宋_GB2312" w:hAnsi="宋体" w:eastAsia="仿宋_GB2312" w:cs="宋体"/>
          <w:b/>
          <w:bCs/>
          <w:sz w:val="32"/>
          <w:szCs w:val="32"/>
        </w:rPr>
      </w:pPr>
      <w:r>
        <w:rPr>
          <w:rFonts w:hint="eastAsia" w:ascii="仿宋_GB2312" w:hAnsi="宋体" w:eastAsia="仿宋_GB2312" w:cs="宋体"/>
          <w:b/>
          <w:bCs/>
          <w:sz w:val="32"/>
          <w:szCs w:val="32"/>
        </w:rPr>
        <w:t>二、博士后工作站介绍</w:t>
      </w:r>
    </w:p>
    <w:p w14:paraId="1723DF79">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首都机场集团有限公司为国内机场行业首批国家级博士后科研工作站设站单位，2020年经人力资源社会保障部、全国博士后管理委员会正式批准设立。工作站是集团推进教育科技人才一体化发展、集聚高层次创新人才的重要平台。</w:t>
      </w:r>
    </w:p>
    <w:p w14:paraId="5640D822">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工作站立足民航机场主业，聚焦智慧机场、机场安全运行、绿色机场、人工智能场景应用等关键领域开展科研攻关，促进产学研融合与科技成果落地转化。工作站与清华大学、北京林业大学等高校博士后科研流动站开展联合培养，围绕机场鸟击防范生态治理、大型枢纽机场数字孪生与运行仿真优化开展研究，形成鸟类图鉴治理工具、机场运行多目标协同优化模型，相关成果已实现在大兴机场生产场景落地应用。</w:t>
      </w:r>
    </w:p>
    <w:p w14:paraId="10B06C84">
      <w:pPr>
        <w:spacing w:line="360" w:lineRule="auto"/>
        <w:ind w:firstLine="643" w:firstLineChars="200"/>
        <w:rPr>
          <w:rFonts w:hint="eastAsia" w:ascii="仿宋_GB2312" w:hAnsi="宋体" w:eastAsia="仿宋_GB2312" w:cs="宋体"/>
          <w:sz w:val="32"/>
          <w:szCs w:val="32"/>
        </w:rPr>
      </w:pPr>
      <w:r>
        <w:rPr>
          <w:rFonts w:hint="eastAsia" w:ascii="仿宋_GB2312" w:hAnsi="宋体" w:eastAsia="仿宋_GB2312" w:cs="宋体"/>
          <w:b/>
          <w:bCs/>
          <w:sz w:val="32"/>
          <w:szCs w:val="32"/>
        </w:rPr>
        <w:t>三、招聘条件</w:t>
      </w:r>
    </w:p>
    <w:p w14:paraId="5B3FC776">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（一）具有良好的政治素质和道德修养，遵纪守法、无违法违纪等不良记录；</w:t>
      </w:r>
    </w:p>
    <w:p w14:paraId="38D3ECF5">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（二）已取得博士学位或已经通过博士学位论文答辩的应届博士毕业生，具有较强的研究能力和敬业精神，品学兼优，身体健康；</w:t>
      </w:r>
    </w:p>
    <w:p w14:paraId="35364CD8">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（三）年龄一般在三十五周岁以下，获得博士学位一般不超过三年；</w:t>
      </w:r>
    </w:p>
    <w:p w14:paraId="7F2ECC23">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（四）研究方向领域符合工作站招收要求；</w:t>
      </w:r>
    </w:p>
    <w:p w14:paraId="415A5A78">
      <w:pPr>
        <w:spacing w:line="360" w:lineRule="auto"/>
        <w:ind w:firstLine="640" w:firstLineChars="200"/>
        <w:rPr>
          <w:rStyle w:val="9"/>
          <w:rFonts w:hint="eastAsia" w:ascii="仿宋_GB2312" w:hAnsi="宋体" w:eastAsia="仿宋_GB2312" w:cs="宋体"/>
          <w:b w:val="0"/>
          <w:sz w:val="32"/>
          <w:szCs w:val="32"/>
        </w:rPr>
      </w:pPr>
      <w:r>
        <w:rPr>
          <w:rFonts w:hint="eastAsia" w:ascii="仿宋_GB2312" w:hAnsi="宋体" w:eastAsia="仿宋_GB2312" w:cs="宋体"/>
          <w:sz w:val="32"/>
          <w:szCs w:val="32"/>
        </w:rPr>
        <w:t>（五）特别优秀博士，在符合国家相关政策规定情况下，可适当放宽有关入站条件。</w:t>
      </w:r>
    </w:p>
    <w:p w14:paraId="424D7BE5">
      <w:pPr>
        <w:pStyle w:val="12"/>
        <w:numPr>
          <w:ilvl w:val="255"/>
          <w:numId w:val="0"/>
        </w:numPr>
        <w:spacing w:line="360" w:lineRule="auto"/>
        <w:ind w:left="640"/>
        <w:rPr>
          <w:rFonts w:hint="eastAsia" w:ascii="仿宋_GB2312" w:hAnsi="宋体" w:eastAsia="仿宋_GB2312" w:cs="宋体"/>
          <w:sz w:val="32"/>
          <w:szCs w:val="32"/>
        </w:rPr>
      </w:pPr>
      <w:r>
        <w:rPr>
          <w:rFonts w:hint="eastAsia" w:ascii="仿宋_GB2312" w:hAnsi="宋体" w:eastAsia="仿宋_GB2312" w:cs="宋体"/>
          <w:b/>
          <w:bCs/>
          <w:sz w:val="32"/>
          <w:szCs w:val="32"/>
        </w:rPr>
        <w:t>四、招聘计划及研究方向</w:t>
      </w:r>
    </w:p>
    <w:p w14:paraId="3196D2EA">
      <w:pPr>
        <w:spacing w:line="360" w:lineRule="auto"/>
        <w:ind w:firstLine="643" w:firstLineChars="200"/>
        <w:rPr>
          <w:rFonts w:hint="eastAsia" w:ascii="仿宋_GB2312" w:hAnsi="宋体" w:eastAsia="仿宋_GB2312" w:cs="宋体"/>
          <w:b/>
          <w:bCs/>
          <w:sz w:val="32"/>
          <w:szCs w:val="32"/>
        </w:rPr>
      </w:pPr>
      <w:r>
        <w:rPr>
          <w:rFonts w:hint="eastAsia" w:ascii="仿宋_GB2312" w:hAnsi="宋体" w:eastAsia="仿宋_GB2312" w:cs="宋体"/>
          <w:b/>
          <w:bCs/>
          <w:sz w:val="32"/>
          <w:szCs w:val="32"/>
        </w:rPr>
        <w:t>（一）招聘单位：首都机场集团有限公司北京大兴国际机场</w:t>
      </w:r>
    </w:p>
    <w:p w14:paraId="03BBFA80">
      <w:pPr>
        <w:spacing w:line="360" w:lineRule="auto"/>
        <w:ind w:firstLine="643" w:firstLineChars="200"/>
        <w:rPr>
          <w:rFonts w:hint="eastAsia" w:ascii="仿宋_GB2312" w:hAnsi="宋体" w:eastAsia="仿宋_GB2312" w:cs="宋体"/>
          <w:sz w:val="32"/>
          <w:szCs w:val="32"/>
        </w:rPr>
      </w:pPr>
      <w:r>
        <w:rPr>
          <w:rFonts w:hint="eastAsia" w:ascii="仿宋_GB2312" w:hAnsi="宋体" w:eastAsia="仿宋_GB2312" w:cs="宋体"/>
          <w:b/>
          <w:bCs/>
          <w:sz w:val="32"/>
          <w:szCs w:val="32"/>
        </w:rPr>
        <w:t>1.研究方向一：人工智能（AI）在机场安全、服务与运行领域的应用研究</w:t>
      </w:r>
    </w:p>
    <w:p w14:paraId="5D85B22B">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（1）主要研究内容：</w:t>
      </w:r>
    </w:p>
    <w:p w14:paraId="6D10F69C">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1）面向枢纽运行的数字孪生与大模型决策助手。把建筑信息模型、地理信息、物联网和各业务系统数据融合起来，构建机场数字孪生，实现对航班流、旅客流、行李流、能源流的时空仿真和推演；面向AOC运行指挥，研发大模型智能助手，支持运行态势问答、处置方案生成与评估，并研究与A-CDM等业务系统的安全对接方式；研究多家驻场单位之间的数据安全共享与隐私保护技术，支撑多方协同决策。</w:t>
      </w:r>
    </w:p>
    <w:p w14:paraId="3ED1B38F">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2）面向超大客流的旅客体验感知与主动服务。整合多源业务数据，建立旅客流量和行为预测模型，对安检、值机、中转、行李提取等关键环节实现分钟级排队时长预测和预警；针对航班延误、备降、旅客积压等突发情况，研究服务人员和设施的动态调配方案，从被动处置转向主动服务；利用大模型理解旅客的真实需求和情绪，优化中外双语智能交互，为首次乘机旅客、老年旅客、无障碍旅客提供个性化服务；建立旅客全流程体验的量化评价指标，形成服务质量持续改进的闭环。</w:t>
      </w:r>
    </w:p>
    <w:p w14:paraId="0DE25C94">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3）用多种感知手段提前发现和预警安全风险。把视频、雷达、声音等多种来源的鸟情数据融合起来，识别鸟类并划分风险等级，支持飞行区分区域、分等级开展鸟击防范；研究跑道、滑行道上外来物（FOD）的自动识别和道面破损评估，实时推演并预警航空器滑行冲突、跑道侵入风险；研究净空保护区内“低慢小”升空物的多手段融合探测和处置建议，以及航站楼人员密集区域的安全隐患研判；研究民航安全场景下人工智能辅助决策的结果解释方法、判断把握程度（置信度）输出、人机协同复核流程和责任边界。</w:t>
      </w:r>
    </w:p>
    <w:p w14:paraId="5B897F44">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（2）申请人条件：</w:t>
      </w:r>
    </w:p>
    <w:p w14:paraId="44E4497E">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1）已取得或即将取得人工智能、计算机科学与技术、自动化、模式识别、交通运输工程、管理科学与工程（运筹优化方向）等相关专业的博士学位；</w:t>
      </w:r>
    </w:p>
    <w:p w14:paraId="04E42EEF">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2）在多模态感知、时序预测、强化学习与组合优化、大模型应用、数字孪生等任一方向有扎实的研究基础，有高水平论文或实际落地成果；</w:t>
      </w:r>
    </w:p>
    <w:p w14:paraId="40E9373A">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3）工程实现能力强，熟练使用Python、深度学习框架和优化求解工具，能处理大规模业务数据；有交通、民航等复杂系统建模经验者优先。</w:t>
      </w:r>
    </w:p>
    <w:p w14:paraId="4DF892F2">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（3）招收人数：1人</w:t>
      </w:r>
    </w:p>
    <w:p w14:paraId="542A36D0">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（4）工作地点：北京</w:t>
      </w:r>
    </w:p>
    <w:p w14:paraId="6A938203">
      <w:pPr>
        <w:spacing w:line="360" w:lineRule="auto"/>
        <w:ind w:firstLine="643" w:firstLineChars="200"/>
        <w:rPr>
          <w:rFonts w:ascii="仿宋_GB2312" w:hAnsi="宋体" w:eastAsia="仿宋_GB2312" w:cs="宋体"/>
          <w:b/>
          <w:bCs/>
          <w:sz w:val="32"/>
          <w:szCs w:val="32"/>
        </w:rPr>
      </w:pPr>
      <w:r>
        <w:rPr>
          <w:rFonts w:hint="eastAsia" w:ascii="仿宋_GB2312" w:hAnsi="宋体" w:eastAsia="仿宋_GB2312" w:cs="宋体"/>
          <w:b/>
          <w:bCs/>
          <w:sz w:val="32"/>
          <w:szCs w:val="32"/>
        </w:rPr>
        <w:t>2.研究方向二：面向机场场景的具身智能机器人</w:t>
      </w:r>
      <w:bookmarkStart w:id="1" w:name="_GoBack"/>
      <w:bookmarkEnd w:id="1"/>
      <w:r>
        <w:rPr>
          <w:rFonts w:hint="eastAsia" w:ascii="仿宋_GB2312" w:hAnsi="宋体" w:eastAsia="仿宋_GB2312" w:cs="宋体"/>
          <w:b/>
          <w:bCs/>
          <w:sz w:val="32"/>
          <w:szCs w:val="32"/>
        </w:rPr>
        <w:t>应用</w:t>
      </w:r>
    </w:p>
    <w:p w14:paraId="71AC432C">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（1）主要研究内容：</w:t>
      </w:r>
    </w:p>
    <w:p w14:paraId="7899DAA7">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1）机场具身智能的通用技术底座与测评体系。研究面向机场场景的视觉—语言—动作具身大模型和任务规划方法，让不同机型、不同任务的机器人能够复用同一套技能；研究从仿真到真实的迁移方法，搭建覆盖空侧、航站楼、围界、地下管廊等典型场景的高保真机场仿真环境和数据集，减少实地试错成本；开发不同类型机器人集群的统一调度管控原型，对接A-CDM机场业务系统；研究机场机器人安全作业标准、测试验证和认证体系，支撑实训基地建设和成果对外推广。</w:t>
      </w:r>
    </w:p>
    <w:p w14:paraId="4166399F">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2）面向行李和物流的“会动手”具身智能。针对形状不规则、超大超重、易碎的行李，研究柔性抓取和搬运技术，实现机器人与国产行李处理系统、行李跟踪系统的作业衔接；用模仿学习、强化学习等方法，让机器人学会搬运行李、分拣和处理异常件；并把应用拓展到货运区、综合保税区和城市航站楼的货物转运，打通空侧与陆侧的物流链条。</w:t>
      </w:r>
    </w:p>
    <w:p w14:paraId="09BD5378">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3）空侧复杂环境下稳定可靠的自主作业机器人。研究在卫星信号弱、雨雾冰雪、夜间等不利条件下的多传感器融合定位；面向外来物（FOD）清扫、割草撒药、驱鸟巡视等任务，研究作业机器人的本体和作业装置，解决续航短、越障难、防护不足、长期维护不便等问题；建立飞行区机器人作业的安全规则模型，对接场面活动引导与控制系统，实现电子围栏、上道申请流程数字化，以及紧急撤离和故障情况下的安全兜底措施。</w:t>
      </w:r>
    </w:p>
    <w:p w14:paraId="3F37D9BE">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4）面向围界巡检与地下管廊巡视的自主巡检机器人。针对机场围界周界长、入侵事件偶发，以及地下管廊空间狭长封闭、无卫星信号、照明通风条件差、有毒有害气体与渗漏积水隐患并存等特点，研究巡检机器人本体及可见光、红外、声学、气体检测等多载荷集成方案，实现围界攀爬翻越、围栏破损、异物抵近等异常事件的识别报警，以及管廊内管线、电缆、阀门、结构裂缝、渗漏积水等设施状态的自动巡检与缺陷判别；研究长廊道、弱纹理、无卫星信号环境下的多传感器融合定位与高精度地图构建，解决长距离巡检的续航、自动回充、坡道与窄道通过、通信盲区数据续传等问题；研究巡检任务自适应规划与异常事件闭环处置机制，打通与机场安防、运维管理平台的告警联动和工单派发，并给出人工巡检替代率、漏报率、隐患发现时效等量化评估结论。</w:t>
      </w:r>
    </w:p>
    <w:p w14:paraId="0D6827EF">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（2）申请人条件：</w:t>
      </w:r>
    </w:p>
    <w:p w14:paraId="6FD0BCEF">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1）已取得或即将取得机器人工程、控制科学与工程、机械电子工程、计算机科学与技术、自动化、人工智能等相关专业的博士学位；</w:t>
      </w:r>
    </w:p>
    <w:p w14:paraId="35ED171C">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2）在机器人感知与导航、运动控制、机械臂操作、多机协同、巡检与特种作业机器人、具身智能大模型等至少一个方向有深入研究，有实体机器人开发调试的实际经验；</w:t>
      </w:r>
    </w:p>
    <w:p w14:paraId="639C516E">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3）有机器人仿真平台、轮式或足式机器人、机械臂、巡检机器人等项目实践经历，参与过国家级课题或企业联合研发项目者优先。</w:t>
      </w:r>
    </w:p>
    <w:p w14:paraId="5B0CDB2A">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（3）招收人数：1人</w:t>
      </w:r>
    </w:p>
    <w:p w14:paraId="1740D285">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（4）工作地点：北京</w:t>
      </w:r>
    </w:p>
    <w:p w14:paraId="2CD90040">
      <w:pPr>
        <w:spacing w:line="360" w:lineRule="auto"/>
        <w:ind w:firstLine="643" w:firstLineChars="200"/>
        <w:rPr>
          <w:rFonts w:hint="eastAsia" w:ascii="仿宋_GB2312" w:hAnsi="宋体" w:eastAsia="仿宋_GB2312" w:cs="宋体"/>
          <w:sz w:val="32"/>
          <w:szCs w:val="32"/>
        </w:rPr>
      </w:pPr>
      <w:r>
        <w:rPr>
          <w:rFonts w:hint="eastAsia" w:ascii="仿宋_GB2312" w:hAnsi="宋体" w:eastAsia="仿宋_GB2312" w:cs="宋体"/>
          <w:b/>
          <w:bCs/>
          <w:sz w:val="32"/>
          <w:szCs w:val="32"/>
        </w:rPr>
        <w:t>（二）招聘单位：首都机场集团科技管理有限公司</w:t>
      </w:r>
    </w:p>
    <w:p w14:paraId="1BEB591D">
      <w:pPr>
        <w:spacing w:line="360" w:lineRule="auto"/>
        <w:ind w:firstLine="643" w:firstLineChars="200"/>
        <w:rPr>
          <w:rFonts w:hint="eastAsia" w:ascii="仿宋_GB2312" w:hAnsi="宋体" w:eastAsia="仿宋_GB2312" w:cs="宋体"/>
          <w:b/>
          <w:bCs/>
          <w:sz w:val="32"/>
          <w:szCs w:val="32"/>
        </w:rPr>
      </w:pPr>
      <w:r>
        <w:rPr>
          <w:rFonts w:hint="eastAsia" w:ascii="仿宋_GB2312" w:hAnsi="宋体" w:eastAsia="仿宋_GB2312" w:cs="宋体"/>
          <w:b/>
          <w:bCs/>
          <w:sz w:val="32"/>
          <w:szCs w:val="32"/>
        </w:rPr>
        <w:t>1.研究方向：大数据、大模型在机场场景中的应用</w:t>
      </w:r>
    </w:p>
    <w:p w14:paraId="2EC67A6A">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（1）主要研究内容：</w:t>
      </w:r>
    </w:p>
    <w:p w14:paraId="0F52F5EC">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1）首都机场集团数据治理体系与数据资产全生命周期管理研究。研究覆盖数据采集、标准、治理、共享、资产化、价值变现全流程的集团一体化数据治理机制，构建统一数据标准体系与数据质量管控体系，推动全域数据归集与口径统一，落实数据分级分类管理。研究数据确权机制与数据资产盘点建档方法，探索数据资产价值评估、财务入表与市场化流通路径，推动数据从静态资源向可计量、可流通、可创收的新型生产要素转变，充分释放数据要素价值；同步开展数据要素市场化流通与可信数据空间建设路径研究，为集团数据资产运营体系落地提供制度与技术支撑。</w:t>
      </w:r>
    </w:p>
    <w:p w14:paraId="7CB12829">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2）</w:t>
      </w:r>
      <w:r>
        <w:rPr>
          <w:rFonts w:hint="eastAsia" w:ascii="仿宋_GB2312" w:hAnsi="宋体" w:eastAsia="仿宋_GB2312" w:cs="宋体"/>
          <w:sz w:val="32"/>
          <w:szCs w:val="32"/>
          <w:highlight w:val="none"/>
        </w:rPr>
        <w:t>数据中台、业务中台以及与信息系统基于智慧机场大模型的研发。</w:t>
      </w:r>
      <w:r>
        <w:rPr>
          <w:rFonts w:hint="eastAsia" w:ascii="仿宋_GB2312" w:hAnsi="宋体" w:eastAsia="仿宋_GB2312" w:cs="宋体"/>
          <w:sz w:val="32"/>
          <w:szCs w:val="32"/>
        </w:rPr>
        <w:t>围绕首都机场集团集团数据中台与业务中台一体化建设，研究集数据汇聚、清洗加工、统一存储、主题建模、API服务于一体的数据中台架构设计与关键技术，打通跨单位数据孤岛，实现全域数据统一汇聚、治理与服务输出。结合信息系统管理与研发实践，研究标准化、场景化数据产品研发方法，围绕旅客服务、运行调度、安全管控、经营分析等核心场景打造轻量化、可复用的数据服务产品，沉淀共性业务能力，推动业务功能标准化、组件化复用，支撑业务系统快速迭代与敏捷交付，提升集团数字化需求响应能力。</w:t>
      </w:r>
    </w:p>
    <w:p w14:paraId="335EAD66">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3）智慧机场智能化与人工智能应用研究。依托首都机场集团统一AI算力池与AI服务平台，研究民航行业垂类大模型与业务智能体的构建方法及其在航班运行、旅客服务、安防管控、经营决策等场景的落地路径，推动大模型与智能体在民用机场业务中规模化落地，实现业务流程自动化、运行研判智能化。</w:t>
      </w:r>
    </w:p>
    <w:p w14:paraId="522EE950">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（2）申请人条件</w:t>
      </w:r>
    </w:p>
    <w:p w14:paraId="6CB971EF">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1）已取得或即将取得计算机科学与技术、软件工程、人工智能、管理科学与工程（运筹与管理科学/信息系统与信息管理方向）、数据科学、统计与应用数学、交通运输工程（民航/智慧交通方向）等相关专业的博士学位；</w:t>
      </w:r>
    </w:p>
    <w:p w14:paraId="2154CFCB">
      <w:pPr>
        <w:spacing w:line="360" w:lineRule="auto"/>
        <w:ind w:firstLine="640" w:firstLineChars="200"/>
        <w:rPr>
          <w:rFonts w:hint="eastAsia" w:ascii="仿宋_GB2312" w:hAnsi="宋体" w:eastAsia="仿宋_GB2312" w:cs="宋体"/>
          <w:sz w:val="32"/>
          <w:szCs w:val="32"/>
          <w:lang w:eastAsia="zh-CN"/>
        </w:rPr>
      </w:pPr>
      <w:r>
        <w:rPr>
          <w:rFonts w:hint="eastAsia" w:ascii="仿宋_GB2312" w:hAnsi="宋体" w:eastAsia="仿宋_GB2312" w:cs="宋体"/>
          <w:sz w:val="32"/>
          <w:szCs w:val="32"/>
        </w:rPr>
        <w:t>2）研究方向或研究经历与数据治理、数据资产、大数据分析、人工智能及信息系统研发等领域相关</w:t>
      </w:r>
      <w:r>
        <w:rPr>
          <w:rFonts w:hint="eastAsia" w:ascii="仿宋_GB2312" w:hAnsi="宋体" w:eastAsia="仿宋_GB2312" w:cs="宋体"/>
          <w:sz w:val="32"/>
          <w:szCs w:val="32"/>
          <w:lang w:eastAsia="zh-CN"/>
        </w:rPr>
        <w:t>；</w:t>
      </w:r>
    </w:p>
    <w:p w14:paraId="4DB45CDC">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3）掌握数据治理、数据建模、大数据分析、机器学习或大模型等方向的专业知识与技术工具，具备Python、SQL 等编程开发能力，能够独立开展数据中台、数据产品、智能应用等方向的研究设计与工程验证；熟悉数据资产全生命周期管理、数据确权与价值评估、数据要素市场化等政策与实践者优先。</w:t>
      </w:r>
    </w:p>
    <w:p w14:paraId="19B2ED1B">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（3）招收人数：1人</w:t>
      </w:r>
    </w:p>
    <w:p w14:paraId="003EDB83">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（4）工作地点：北京</w:t>
      </w:r>
    </w:p>
    <w:p w14:paraId="0677D4A2">
      <w:pPr>
        <w:spacing w:line="360" w:lineRule="auto"/>
        <w:ind w:firstLine="643" w:firstLineChars="200"/>
        <w:rPr>
          <w:rFonts w:hint="eastAsia" w:ascii="仿宋_GB2312" w:hAnsi="宋体" w:eastAsia="仿宋_GB2312" w:cs="宋体"/>
          <w:b/>
          <w:bCs/>
          <w:sz w:val="32"/>
          <w:szCs w:val="32"/>
        </w:rPr>
      </w:pPr>
      <w:r>
        <w:rPr>
          <w:rFonts w:hint="eastAsia" w:ascii="仿宋_GB2312" w:hAnsi="宋体" w:eastAsia="仿宋_GB2312" w:cs="宋体"/>
          <w:b/>
          <w:bCs/>
          <w:sz w:val="32"/>
          <w:szCs w:val="32"/>
        </w:rPr>
        <w:t>五、招收程序</w:t>
      </w:r>
    </w:p>
    <w:p w14:paraId="3E250C7E">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（一）报名流程</w:t>
      </w:r>
    </w:p>
    <w:p w14:paraId="2E5D041E">
      <w:pPr>
        <w:spacing w:line="360" w:lineRule="auto"/>
        <w:ind w:firstLine="560" w:firstLineChars="175"/>
        <w:rPr>
          <w:rFonts w:hint="eastAsia" w:ascii="仿宋_GB2312" w:hAnsi="宋体" w:eastAsia="仿宋_GB2312" w:cs="宋体"/>
          <w:sz w:val="32"/>
          <w:szCs w:val="32"/>
        </w:rPr>
      </w:pPr>
      <w:r>
        <w:rPr>
          <w:rFonts w:hint="eastAsia" w:ascii="仿宋_GB2312" w:hAnsi="宋体" w:eastAsia="仿宋_GB2312" w:cs="宋体"/>
          <w:sz w:val="32"/>
          <w:szCs w:val="32"/>
        </w:rPr>
        <w:t>凡是申请成为我站博士后研究工作人员的，请向本站提交下列申请材料：</w:t>
      </w:r>
    </w:p>
    <w:p w14:paraId="4173CB64">
      <w:pPr>
        <w:spacing w:line="360" w:lineRule="auto"/>
        <w:ind w:firstLine="560" w:firstLineChars="175"/>
        <w:rPr>
          <w:rFonts w:hint="eastAsia" w:ascii="仿宋_GB2312" w:hAnsi="宋体" w:eastAsia="仿宋_GB2312" w:cs="宋体"/>
          <w:sz w:val="32"/>
          <w:szCs w:val="32"/>
        </w:rPr>
      </w:pPr>
      <w:r>
        <w:rPr>
          <w:rFonts w:hint="eastAsia" w:ascii="仿宋_GB2312" w:hAnsi="宋体" w:eastAsia="仿宋_GB2312" w:cs="宋体"/>
          <w:sz w:val="32"/>
          <w:szCs w:val="32"/>
        </w:rPr>
        <w:t>1.请下载并填写《首都机场集团有限公司博士后申请表》，详见附件1；</w:t>
      </w:r>
    </w:p>
    <w:p w14:paraId="124E82AA">
      <w:pPr>
        <w:spacing w:line="360" w:lineRule="auto"/>
        <w:ind w:firstLine="560" w:firstLineChars="175"/>
        <w:rPr>
          <w:rFonts w:hint="eastAsia" w:ascii="仿宋_GB2312" w:hAnsi="宋体" w:eastAsia="仿宋_GB2312" w:cs="宋体"/>
          <w:sz w:val="32"/>
          <w:szCs w:val="32"/>
        </w:rPr>
      </w:pPr>
      <w:r>
        <w:rPr>
          <w:rFonts w:hint="eastAsia" w:ascii="仿宋_GB2312" w:hAnsi="宋体" w:eastAsia="仿宋_GB2312" w:cs="宋体"/>
          <w:sz w:val="32"/>
          <w:szCs w:val="32"/>
        </w:rPr>
        <w:t>2.请根据拟选博士后研究课题编写研究项目计划书（3000字以内，计划书包括但不限于课题名称、研究的重点难点、研究思路与方法、研究计划、预期成果等），每人最多可以选报1个课题；</w:t>
      </w:r>
    </w:p>
    <w:p w14:paraId="68F7643C">
      <w:pPr>
        <w:spacing w:line="360" w:lineRule="auto"/>
        <w:ind w:firstLine="560" w:firstLineChars="175"/>
        <w:rPr>
          <w:rFonts w:hint="eastAsia" w:ascii="仿宋_GB2312" w:hAnsi="宋体" w:eastAsia="仿宋_GB2312" w:cs="宋体"/>
          <w:sz w:val="32"/>
          <w:szCs w:val="32"/>
        </w:rPr>
      </w:pPr>
      <w:r>
        <w:rPr>
          <w:rFonts w:hint="eastAsia" w:ascii="仿宋_GB2312" w:hAnsi="宋体" w:eastAsia="仿宋_GB2312" w:cs="宋体"/>
          <w:sz w:val="32"/>
          <w:szCs w:val="32"/>
        </w:rPr>
        <w:t>3.博士论文详细摘要（1000字以内），以及公开发表的与研究方向相关的学术论文（电子版）；</w:t>
      </w:r>
    </w:p>
    <w:p w14:paraId="75CD3FA4">
      <w:pPr>
        <w:spacing w:line="360" w:lineRule="auto"/>
        <w:ind w:firstLine="560" w:firstLineChars="175"/>
        <w:rPr>
          <w:rFonts w:hint="eastAsia" w:ascii="仿宋_GB2312" w:hAnsi="宋体" w:eastAsia="仿宋_GB2312" w:cs="宋体"/>
          <w:sz w:val="32"/>
          <w:szCs w:val="32"/>
        </w:rPr>
      </w:pPr>
      <w:r>
        <w:rPr>
          <w:rFonts w:hint="eastAsia" w:ascii="仿宋_GB2312" w:hAnsi="宋体" w:eastAsia="仿宋_GB2312" w:cs="宋体"/>
          <w:sz w:val="32"/>
          <w:szCs w:val="32"/>
        </w:rPr>
        <w:t>4.表明研究能力和学术水平的成果证明（如奖励证书、专利证书等）；</w:t>
      </w:r>
    </w:p>
    <w:p w14:paraId="5E0F5B5B">
      <w:pPr>
        <w:spacing w:line="360" w:lineRule="auto"/>
        <w:ind w:firstLine="560" w:firstLineChars="175"/>
        <w:rPr>
          <w:rFonts w:hint="eastAsia" w:ascii="仿宋_GB2312" w:hAnsi="宋体" w:eastAsia="仿宋_GB2312" w:cs="宋体"/>
          <w:sz w:val="32"/>
          <w:szCs w:val="32"/>
        </w:rPr>
      </w:pPr>
      <w:r>
        <w:rPr>
          <w:rFonts w:hint="eastAsia" w:ascii="仿宋_GB2312" w:hAnsi="宋体" w:eastAsia="仿宋_GB2312" w:cs="宋体"/>
          <w:sz w:val="32"/>
          <w:szCs w:val="32"/>
        </w:rPr>
        <w:t>5.博士毕业证书、学位证书复印件（暂未拿到证书者可提供学位授予部门出具的决定授予学位的书面证明）；</w:t>
      </w:r>
    </w:p>
    <w:p w14:paraId="0E3097BD">
      <w:pPr>
        <w:spacing w:line="360" w:lineRule="auto"/>
        <w:ind w:firstLine="560" w:firstLineChars="175"/>
        <w:rPr>
          <w:rFonts w:hint="eastAsia" w:ascii="仿宋_GB2312" w:hAnsi="宋体" w:eastAsia="仿宋_GB2312" w:cs="宋体"/>
          <w:sz w:val="32"/>
          <w:szCs w:val="32"/>
        </w:rPr>
      </w:pPr>
      <w:r>
        <w:rPr>
          <w:rFonts w:hint="eastAsia" w:ascii="仿宋_GB2312" w:hAnsi="宋体" w:eastAsia="仿宋_GB2312" w:cs="宋体"/>
          <w:sz w:val="32"/>
          <w:szCs w:val="32"/>
        </w:rPr>
        <w:t>6.本人身份证复印件（正反面）；</w:t>
      </w:r>
    </w:p>
    <w:p w14:paraId="7939F3CA">
      <w:pPr>
        <w:spacing w:line="360" w:lineRule="auto"/>
        <w:ind w:firstLine="560" w:firstLineChars="175"/>
        <w:rPr>
          <w:rFonts w:hint="eastAsia" w:ascii="仿宋_GB2312" w:hAnsi="宋体" w:eastAsia="仿宋_GB2312" w:cs="宋体"/>
          <w:sz w:val="32"/>
          <w:szCs w:val="32"/>
        </w:rPr>
      </w:pPr>
      <w:r>
        <w:rPr>
          <w:rFonts w:hint="eastAsia" w:ascii="仿宋_GB2312" w:hAnsi="宋体" w:eastAsia="仿宋_GB2312" w:cs="宋体"/>
          <w:sz w:val="32"/>
          <w:szCs w:val="32"/>
        </w:rPr>
        <w:t>7.国外获得博士学位的留学人员还需提交教育部的博士学位认定证明；</w:t>
      </w:r>
    </w:p>
    <w:p w14:paraId="3F4A8D2F">
      <w:pPr>
        <w:spacing w:line="360" w:lineRule="auto"/>
        <w:ind w:firstLine="560" w:firstLineChars="175"/>
        <w:rPr>
          <w:rFonts w:hint="eastAsia" w:ascii="仿宋_GB2312" w:hAnsi="宋体" w:eastAsia="仿宋_GB2312" w:cs="宋体"/>
          <w:sz w:val="32"/>
          <w:szCs w:val="32"/>
        </w:rPr>
      </w:pPr>
      <w:r>
        <w:rPr>
          <w:rFonts w:hint="eastAsia" w:ascii="仿宋_GB2312" w:hAnsi="宋体" w:eastAsia="仿宋_GB2312" w:cs="宋体"/>
          <w:sz w:val="32"/>
          <w:szCs w:val="32"/>
        </w:rPr>
        <w:t>8.相近学科2名博士生导师的《专家推荐信》（由两位相近学科领域的博士生导师或相当水平专家填写，其中有一位应是申请人的博士</w:t>
      </w:r>
      <w:r>
        <w:rPr>
          <w:rFonts w:hint="eastAsia" w:ascii="仿宋_GB2312" w:hAnsi="宋体" w:eastAsia="仿宋_GB2312" w:cs="宋体"/>
          <w:sz w:val="32"/>
          <w:szCs w:val="32"/>
          <w:lang w:val="en-US" w:eastAsia="zh-CN"/>
        </w:rPr>
        <w:t>生</w:t>
      </w:r>
      <w:r>
        <w:rPr>
          <w:rFonts w:hint="eastAsia" w:ascii="仿宋_GB2312" w:hAnsi="宋体" w:eastAsia="仿宋_GB2312" w:cs="宋体"/>
          <w:sz w:val="32"/>
          <w:szCs w:val="32"/>
        </w:rPr>
        <w:t>导师），详见附件2。</w:t>
      </w:r>
    </w:p>
    <w:p w14:paraId="2A172735">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（二）报名方式</w:t>
      </w:r>
    </w:p>
    <w:p w14:paraId="2049EBF6">
      <w:pPr>
        <w:spacing w:line="360" w:lineRule="auto"/>
        <w:ind w:left="630" w:leftChars="300"/>
        <w:jc w:val="left"/>
        <w:rPr>
          <w:rStyle w:val="11"/>
          <w:rFonts w:hint="eastAsia" w:ascii="仿宋_GB2312" w:hAnsi="宋体" w:eastAsia="仿宋_GB2312" w:cs="宋体"/>
          <w:sz w:val="32"/>
          <w:szCs w:val="32"/>
          <w:highlight w:val="none"/>
        </w:rPr>
      </w:pPr>
      <w:r>
        <w:rPr>
          <w:rFonts w:hint="eastAsia" w:ascii="仿宋_GB2312" w:hAnsi="宋体" w:eastAsia="仿宋_GB2312" w:cs="宋体"/>
          <w:sz w:val="32"/>
          <w:szCs w:val="32"/>
        </w:rPr>
        <w:t>网申地址：</w:t>
      </w:r>
      <w:r>
        <w:rPr>
          <w:rStyle w:val="11"/>
          <w:rFonts w:hint="eastAsia" w:ascii="仿宋_GB2312" w:hAnsi="宋体" w:eastAsia="仿宋_GB2312" w:cs="宋体"/>
          <w:sz w:val="32"/>
          <w:szCs w:val="32"/>
          <w:highlight w:val="none"/>
        </w:rPr>
        <w:t>https://www.zhipin.com/dz/cah2027/postdoc</w:t>
      </w:r>
    </w:p>
    <w:p w14:paraId="2C59AE9A">
      <w:pPr>
        <w:spacing w:line="360" w:lineRule="auto"/>
        <w:jc w:val="both"/>
        <w:rPr>
          <w:rFonts w:hint="eastAsia" w:ascii="仿宋_GB2312" w:hAnsi="宋体" w:eastAsia="仿宋_GB2312" w:cs="宋体"/>
          <w:sz w:val="32"/>
          <w:szCs w:val="32"/>
          <w:highlight w:val="none"/>
          <w:lang w:eastAsia="zh-CN"/>
        </w:rPr>
      </w:pPr>
      <w:r>
        <w:rPr>
          <w:rFonts w:hint="eastAsia" w:ascii="仿宋_GB2312" w:hAnsi="宋体" w:eastAsia="仿宋_GB2312" w:cs="宋体"/>
          <w:sz w:val="32"/>
          <w:szCs w:val="32"/>
          <w:highlight w:val="none"/>
          <w:lang w:eastAsia="zh-CN"/>
        </w:rPr>
        <w:drawing>
          <wp:inline distT="0" distB="0" distL="114300" distR="114300">
            <wp:extent cx="2447290" cy="2447290"/>
            <wp:effectExtent l="0" t="0" r="3810" b="3810"/>
            <wp:docPr id="1" name="图片 1" descr="2027博士后网申二维码httpswww.zhipin.comdzcah2027postd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27博士后网申二维码httpswww.zhipin.comdzcah2027postdoc"/>
                    <pic:cNvPicPr>
                      <a:picLocks noChangeAspect="1"/>
                    </pic:cNvPicPr>
                  </pic:nvPicPr>
                  <pic:blipFill>
                    <a:blip r:embed="rId10"/>
                    <a:stretch>
                      <a:fillRect/>
                    </a:stretch>
                  </pic:blipFill>
                  <pic:spPr>
                    <a:xfrm>
                      <a:off x="0" y="0"/>
                      <a:ext cx="2447290" cy="2447290"/>
                    </a:xfrm>
                    <a:prstGeom prst="rect">
                      <a:avLst/>
                    </a:prstGeom>
                  </pic:spPr>
                </pic:pic>
              </a:graphicData>
            </a:graphic>
          </wp:inline>
        </w:drawing>
      </w:r>
    </w:p>
    <w:p w14:paraId="70D47A50">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（三）报名截止时间</w:t>
      </w:r>
    </w:p>
    <w:p w14:paraId="2265327F">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2026年11月22日24:00</w:t>
      </w:r>
    </w:p>
    <w:p w14:paraId="1F4EE71D">
      <w:pPr>
        <w:pStyle w:val="5"/>
        <w:widowControl/>
        <w:spacing w:beforeAutospacing="0" w:afterAutospacing="0" w:line="360" w:lineRule="auto"/>
        <w:ind w:firstLine="640" w:firstLineChars="200"/>
        <w:jc w:val="both"/>
        <w:rPr>
          <w:rFonts w:hint="eastAsia" w:ascii="仿宋_GB2312" w:hAnsi="宋体" w:eastAsia="仿宋_GB2312" w:cs="宋体"/>
          <w:kern w:val="2"/>
          <w:sz w:val="32"/>
          <w:szCs w:val="32"/>
        </w:rPr>
      </w:pPr>
      <w:r>
        <w:rPr>
          <w:rFonts w:hint="eastAsia" w:ascii="仿宋_GB2312" w:hAnsi="宋体" w:eastAsia="仿宋_GB2312" w:cs="宋体"/>
          <w:kern w:val="2"/>
          <w:sz w:val="32"/>
          <w:szCs w:val="32"/>
        </w:rPr>
        <w:t>（四）注意事项</w:t>
      </w:r>
    </w:p>
    <w:p w14:paraId="3105071F">
      <w:pPr>
        <w:pStyle w:val="5"/>
        <w:widowControl/>
        <w:spacing w:beforeAutospacing="0" w:afterAutospacing="0" w:line="360" w:lineRule="auto"/>
        <w:ind w:firstLine="640" w:firstLineChars="200"/>
        <w:jc w:val="both"/>
        <w:rPr>
          <w:rFonts w:hint="eastAsia" w:ascii="仿宋_GB2312" w:hAnsi="宋体" w:eastAsia="仿宋_GB2312" w:cs="宋体"/>
          <w:kern w:val="2"/>
          <w:sz w:val="32"/>
          <w:szCs w:val="32"/>
        </w:rPr>
      </w:pPr>
      <w:r>
        <w:rPr>
          <w:rFonts w:hint="eastAsia" w:ascii="仿宋_GB2312" w:hAnsi="宋体" w:eastAsia="仿宋_GB2312" w:cs="宋体"/>
          <w:kern w:val="2"/>
          <w:sz w:val="32"/>
          <w:szCs w:val="32"/>
        </w:rPr>
        <w:t>1.</w:t>
      </w:r>
      <w:r>
        <w:rPr>
          <w:rFonts w:hint="eastAsia" w:ascii="仿宋_GB2312" w:hAnsi="宋体" w:eastAsia="仿宋_GB2312" w:cs="宋体"/>
          <w:sz w:val="32"/>
          <w:szCs w:val="32"/>
        </w:rPr>
        <w:t>对申请者条件进行资格审查后，适时组织面试，</w:t>
      </w:r>
      <w:r>
        <w:rPr>
          <w:rFonts w:hint="eastAsia" w:ascii="仿宋_GB2312" w:hAnsi="宋体" w:eastAsia="仿宋_GB2312" w:cs="宋体"/>
          <w:kern w:val="2"/>
          <w:sz w:val="32"/>
          <w:szCs w:val="32"/>
        </w:rPr>
        <w:t>通过面试考核及背景调查、体检环节，本站将向符合录用标准的申请者发放录用通知。</w:t>
      </w:r>
    </w:p>
    <w:p w14:paraId="28EF03F5">
      <w:pPr>
        <w:pStyle w:val="5"/>
        <w:widowControl/>
        <w:spacing w:beforeAutospacing="0" w:afterAutospacing="0" w:line="360" w:lineRule="auto"/>
        <w:ind w:firstLine="640" w:firstLineChars="200"/>
        <w:jc w:val="both"/>
        <w:rPr>
          <w:rFonts w:hint="eastAsia" w:ascii="仿宋_GB2312" w:hAnsi="宋体" w:eastAsia="仿宋_GB2312" w:cs="宋体"/>
          <w:kern w:val="2"/>
          <w:sz w:val="32"/>
          <w:szCs w:val="32"/>
        </w:rPr>
      </w:pPr>
      <w:r>
        <w:rPr>
          <w:rFonts w:hint="eastAsia" w:ascii="仿宋_GB2312" w:hAnsi="宋体" w:eastAsia="仿宋_GB2312" w:cs="宋体"/>
          <w:kern w:val="2"/>
          <w:sz w:val="32"/>
          <w:szCs w:val="32"/>
        </w:rPr>
        <w:t>2.涉密材料应做脱密处理。</w:t>
      </w:r>
    </w:p>
    <w:p w14:paraId="7477A3B8">
      <w:pPr>
        <w:spacing w:line="360" w:lineRule="auto"/>
        <w:ind w:firstLine="643" w:firstLineChars="200"/>
        <w:rPr>
          <w:rFonts w:hint="eastAsia" w:ascii="仿宋_GB2312" w:hAnsi="宋体" w:eastAsia="仿宋_GB2312" w:cs="宋体"/>
          <w:sz w:val="32"/>
          <w:szCs w:val="32"/>
        </w:rPr>
      </w:pPr>
      <w:r>
        <w:rPr>
          <w:rFonts w:hint="eastAsia" w:ascii="仿宋_GB2312" w:hAnsi="宋体" w:eastAsia="仿宋_GB2312" w:cs="宋体"/>
          <w:b/>
          <w:bCs/>
          <w:sz w:val="32"/>
          <w:szCs w:val="32"/>
        </w:rPr>
        <w:t>六、相关待遇</w:t>
      </w:r>
    </w:p>
    <w:p w14:paraId="2CD0C241">
      <w:pPr>
        <w:pStyle w:val="5"/>
        <w:widowControl/>
        <w:spacing w:beforeAutospacing="0" w:afterAutospacing="0" w:line="360" w:lineRule="auto"/>
        <w:ind w:firstLine="640" w:firstLineChars="200"/>
        <w:jc w:val="both"/>
        <w:rPr>
          <w:rFonts w:hint="eastAsia" w:ascii="仿宋_GB2312" w:hAnsi="宋体" w:eastAsia="仿宋_GB2312" w:cs="宋体"/>
          <w:kern w:val="2"/>
          <w:sz w:val="32"/>
          <w:szCs w:val="32"/>
        </w:rPr>
      </w:pPr>
      <w:r>
        <w:rPr>
          <w:rFonts w:hint="eastAsia" w:ascii="仿宋_GB2312" w:hAnsi="宋体" w:eastAsia="仿宋_GB2312" w:cs="宋体"/>
          <w:kern w:val="2"/>
          <w:sz w:val="32"/>
          <w:szCs w:val="32"/>
        </w:rPr>
        <w:t>1.</w:t>
      </w:r>
      <w:r>
        <w:rPr>
          <w:rFonts w:hint="eastAsia" w:ascii="仿宋_GB2312" w:hAnsi="宋体" w:eastAsia="仿宋_GB2312" w:cs="宋体"/>
          <w:sz w:val="32"/>
          <w:szCs w:val="32"/>
        </w:rPr>
        <w:t>提供具有市场竞争力的薪酬福利、科研专项经费及奖励</w:t>
      </w:r>
      <w:r>
        <w:rPr>
          <w:rFonts w:hint="eastAsia" w:ascii="仿宋_GB2312" w:hAnsi="宋体" w:eastAsia="仿宋_GB2312" w:cs="宋体"/>
          <w:kern w:val="2"/>
          <w:sz w:val="32"/>
          <w:szCs w:val="32"/>
        </w:rPr>
        <w:t>。享有五险二金、补充医疗保险；享受住房保障；可申请集团公司博士后专项集体户口；按国家政策协助办理子女入学入托等保障。</w:t>
      </w:r>
    </w:p>
    <w:p w14:paraId="5FCA0FDF">
      <w:pPr>
        <w:pStyle w:val="5"/>
        <w:widowControl/>
        <w:spacing w:beforeAutospacing="0" w:afterAutospacing="0" w:line="360" w:lineRule="auto"/>
        <w:ind w:firstLine="640" w:firstLineChars="200"/>
        <w:jc w:val="both"/>
        <w:rPr>
          <w:rFonts w:ascii="仿宋_GB2312" w:hAnsi="宋体" w:eastAsia="仿宋_GB2312" w:cs="宋体"/>
          <w:kern w:val="2"/>
          <w:sz w:val="32"/>
          <w:szCs w:val="32"/>
        </w:rPr>
      </w:pPr>
      <w:r>
        <w:rPr>
          <w:rFonts w:hint="eastAsia" w:ascii="仿宋_GB2312" w:hAnsi="宋体" w:eastAsia="仿宋_GB2312" w:cs="宋体"/>
          <w:kern w:val="2"/>
          <w:sz w:val="32"/>
          <w:szCs w:val="32"/>
        </w:rPr>
        <w:t>2.</w:t>
      </w:r>
      <w:r>
        <w:rPr>
          <w:rFonts w:hint="eastAsia" w:ascii="仿宋_GB2312" w:hAnsi="宋体" w:eastAsia="仿宋_GB2312" w:cs="宋体"/>
          <w:sz w:val="32"/>
          <w:szCs w:val="32"/>
        </w:rPr>
        <w:t>与首都机场集团有限公司签订劳动合同。</w:t>
      </w:r>
    </w:p>
    <w:p w14:paraId="5949E789">
      <w:pPr>
        <w:pStyle w:val="5"/>
        <w:widowControl/>
        <w:spacing w:beforeAutospacing="0" w:afterAutospacing="0" w:line="360" w:lineRule="auto"/>
        <w:ind w:firstLine="640" w:firstLineChars="200"/>
        <w:jc w:val="both"/>
        <w:rPr>
          <w:rFonts w:hint="eastAsia" w:ascii="仿宋_GB2312" w:hAnsi="宋体" w:eastAsia="仿宋_GB2312" w:cs="宋体"/>
          <w:kern w:val="2"/>
          <w:sz w:val="32"/>
          <w:szCs w:val="32"/>
        </w:rPr>
      </w:pPr>
      <w:r>
        <w:rPr>
          <w:rFonts w:hint="eastAsia" w:ascii="仿宋_GB2312" w:hAnsi="宋体" w:eastAsia="仿宋_GB2312" w:cs="宋体"/>
          <w:kern w:val="2"/>
          <w:sz w:val="32"/>
          <w:szCs w:val="32"/>
        </w:rPr>
        <w:t>3.按国家政策申报高级专业技术资格评审；申报国家、省部级博士后科学基金、科研项目；按北京市政策申请博士后相关经费资助；深度参与集团重点实验室、重大科研项目。</w:t>
      </w:r>
    </w:p>
    <w:p w14:paraId="4E4E26BD">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4.实行双导师联合培养；优秀出站人员可择优留用集团系统内岗位，加入集团高技术人才库，在站期间工龄连续计算。</w:t>
      </w:r>
    </w:p>
    <w:p w14:paraId="7188E852">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七、联系方式</w:t>
      </w:r>
    </w:p>
    <w:p w14:paraId="2C457B38">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联系人：陈先生</w:t>
      </w:r>
    </w:p>
    <w:p w14:paraId="67936CD6">
      <w:pPr>
        <w:spacing w:line="360" w:lineRule="auto"/>
        <w:ind w:firstLine="640" w:firstLineChars="200"/>
        <w:rPr>
          <w:rFonts w:hint="eastAsia" w:ascii="仿宋_GB2312" w:hAnsi="宋体" w:eastAsia="仿宋_GB2312" w:cs="宋体"/>
          <w:sz w:val="32"/>
          <w:szCs w:val="32"/>
          <w:lang w:val="en-US" w:eastAsia="zh-CN"/>
        </w:rPr>
      </w:pPr>
      <w:r>
        <w:rPr>
          <w:rFonts w:hint="eastAsia" w:ascii="仿宋_GB2312" w:hAnsi="宋体" w:eastAsia="仿宋_GB2312" w:cs="宋体"/>
          <w:sz w:val="32"/>
          <w:szCs w:val="32"/>
        </w:rPr>
        <w:t>咨询邮箱：</w:t>
      </w:r>
      <w:r>
        <w:rPr>
          <w:rFonts w:hint="eastAsia" w:ascii="仿宋_GB2312" w:hAnsi="宋体" w:eastAsia="仿宋_GB2312" w:cs="宋体"/>
          <w:sz w:val="32"/>
          <w:szCs w:val="32"/>
        </w:rPr>
        <w:fldChar w:fldCharType="begin"/>
      </w:r>
      <w:r>
        <w:rPr>
          <w:rFonts w:hint="eastAsia" w:ascii="仿宋_GB2312" w:hAnsi="宋体" w:eastAsia="仿宋_GB2312" w:cs="宋体"/>
          <w:sz w:val="32"/>
          <w:szCs w:val="32"/>
        </w:rPr>
        <w:instrText xml:space="preserve"> HYPERLINK "mailto:zhaopin@cahs.com.cn" </w:instrText>
      </w:r>
      <w:r>
        <w:rPr>
          <w:rFonts w:hint="eastAsia" w:ascii="仿宋_GB2312" w:hAnsi="宋体" w:eastAsia="仿宋_GB2312" w:cs="宋体"/>
          <w:sz w:val="32"/>
          <w:szCs w:val="32"/>
        </w:rPr>
        <w:fldChar w:fldCharType="separate"/>
      </w:r>
      <w:r>
        <w:rPr>
          <w:rStyle w:val="11"/>
          <w:rFonts w:hint="eastAsia" w:ascii="仿宋_GB2312" w:hAnsi="宋体" w:eastAsia="仿宋_GB2312" w:cs="宋体"/>
          <w:sz w:val="32"/>
          <w:szCs w:val="32"/>
        </w:rPr>
        <w:t>zhaopin@cahs.com.cn</w:t>
      </w:r>
      <w:r>
        <w:rPr>
          <w:rFonts w:hint="eastAsia" w:ascii="仿宋_GB2312" w:hAnsi="宋体" w:eastAsia="仿宋_GB2312" w:cs="宋体"/>
          <w:sz w:val="32"/>
          <w:szCs w:val="32"/>
        </w:rPr>
        <w:fldChar w:fldCharType="end"/>
      </w:r>
      <w:r>
        <w:rPr>
          <w:rFonts w:hint="eastAsia" w:ascii="仿宋_GB2312" w:hAnsi="宋体" w:eastAsia="仿宋_GB2312" w:cs="宋体"/>
          <w:sz w:val="32"/>
          <w:szCs w:val="32"/>
          <w:lang w:val="en-US" w:eastAsia="zh-CN"/>
        </w:rPr>
        <w:t xml:space="preserve"> </w:t>
      </w:r>
    </w:p>
    <w:p w14:paraId="1DC3445B">
      <w:pPr>
        <w:spacing w:line="360" w:lineRule="auto"/>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集团网址：</w:t>
      </w:r>
      <w:r>
        <w:fldChar w:fldCharType="begin"/>
      </w:r>
      <w:r>
        <w:instrText xml:space="preserve"> HYPERLINK "https://www.cah.com.cn/" </w:instrText>
      </w:r>
      <w:r>
        <w:fldChar w:fldCharType="separate"/>
      </w:r>
      <w:r>
        <w:rPr>
          <w:rStyle w:val="11"/>
          <w:rFonts w:hint="eastAsia" w:ascii="仿宋_GB2312" w:hAnsi="宋体" w:eastAsia="仿宋_GB2312" w:cs="宋体"/>
          <w:sz w:val="32"/>
          <w:szCs w:val="32"/>
        </w:rPr>
        <w:t>https://www.cah.com.cn/</w:t>
      </w:r>
      <w:r>
        <w:rPr>
          <w:rStyle w:val="11"/>
          <w:rFonts w:hint="eastAsia" w:ascii="仿宋_GB2312" w:hAnsi="宋体" w:eastAsia="仿宋_GB2312" w:cs="宋体"/>
          <w:sz w:val="32"/>
          <w:szCs w:val="32"/>
        </w:rPr>
        <w:fldChar w:fldCharType="end"/>
      </w:r>
    </w:p>
    <w:p w14:paraId="67222A9A">
      <w:pPr>
        <w:spacing w:line="360" w:lineRule="auto"/>
        <w:rPr>
          <w:rFonts w:hint="eastAsia" w:ascii="宋体" w:hAnsi="宋体" w:eastAsia="宋体" w:cs="宋体"/>
          <w:sz w:val="24"/>
        </w:rPr>
      </w:pPr>
    </w:p>
    <w:p w14:paraId="24C94418">
      <w:pPr>
        <w:spacing w:line="360" w:lineRule="auto"/>
        <w:rPr>
          <w:rFonts w:hint="eastAsia" w:ascii="宋体" w:hAnsi="宋体" w:eastAsia="宋体" w:cs="宋体"/>
          <w:sz w:val="24"/>
        </w:rPr>
      </w:pPr>
    </w:p>
    <w:p w14:paraId="584600A5">
      <w:pPr>
        <w:spacing w:line="360" w:lineRule="auto"/>
        <w:rPr>
          <w:rFonts w:hint="eastAsia" w:ascii="宋体" w:hAnsi="宋体" w:eastAsia="宋体" w:cs="宋体"/>
          <w:sz w:val="24"/>
        </w:rPr>
      </w:pPr>
    </w:p>
    <w:p w14:paraId="10938F10">
      <w:pPr>
        <w:spacing w:line="360" w:lineRule="auto"/>
        <w:rPr>
          <w:rFonts w:hint="eastAsia" w:ascii="仿宋_GB2312" w:hAnsi="宋体" w:eastAsia="仿宋_GB2312" w:cs="宋体"/>
          <w:sz w:val="32"/>
          <w:szCs w:val="32"/>
        </w:rPr>
      </w:pPr>
      <w:r>
        <w:rPr>
          <w:rFonts w:hint="eastAsia" w:ascii="仿宋_GB2312" w:hAnsi="宋体" w:eastAsia="仿宋_GB2312" w:cs="宋体"/>
          <w:sz w:val="32"/>
          <w:szCs w:val="32"/>
        </w:rPr>
        <w:t>附件1：首都机场集团公司博士后申请表</w:t>
      </w:r>
    </w:p>
    <w:p w14:paraId="54B22DCB">
      <w:pPr>
        <w:spacing w:line="360" w:lineRule="auto"/>
        <w:rPr>
          <w:rFonts w:hint="eastAsia" w:ascii="宋体" w:hAnsi="宋体" w:eastAsia="仿宋_GB2312" w:cs="宋体"/>
          <w:sz w:val="24"/>
          <w:lang w:eastAsia="zh-CN"/>
        </w:rPr>
      </w:pPr>
      <w:r>
        <w:rPr>
          <w:rFonts w:hint="eastAsia" w:ascii="仿宋_GB2312" w:hAnsi="宋体" w:eastAsia="仿宋_GB2312" w:cs="宋体"/>
          <w:sz w:val="32"/>
          <w:szCs w:val="32"/>
        </w:rPr>
        <w:t>附件2：专家推荐信</w:t>
      </w:r>
      <w:bookmarkStart w:id="0" w:name="_MON_1854260332"/>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BE25B2F9">
    <w:panose1 w:val="0201060103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CA766">
    <w:pPr>
      <w:pStyle w:val="3"/>
      <w:jc w:val="center"/>
      <w:rPr>
        <w:rFonts w:hint="eastAsia"/>
        <w:color w:val="4874CB" w:themeColor="accent1"/>
        <w14:textFill>
          <w14:solidFill>
            <w14:schemeClr w14:val="accent1"/>
          </w14:solidFill>
        </w14:textFill>
      </w:rPr>
    </w:pPr>
    <w:r>
      <w:rPr>
        <w:color w:val="4874CB" w:themeColor="accent1"/>
        <w:lang w:val="zh-CN"/>
        <w14:textFill>
          <w14:solidFill>
            <w14:schemeClr w14:val="accent1"/>
          </w14:solidFill>
        </w14:textFill>
      </w:rPr>
      <w:t xml:space="preserve"> </w:t>
    </w:r>
    <w:r>
      <w:rPr>
        <w:color w:val="4874CB" w:themeColor="accent1"/>
        <w14:textFill>
          <w14:solidFill>
            <w14:schemeClr w14:val="accent1"/>
          </w14:solidFill>
        </w14:textFill>
      </w:rPr>
      <w:fldChar w:fldCharType="begin"/>
    </w:r>
    <w:r>
      <w:rPr>
        <w:color w:val="4874CB" w:themeColor="accent1"/>
        <w14:textFill>
          <w14:solidFill>
            <w14:schemeClr w14:val="accent1"/>
          </w14:solidFill>
        </w14:textFill>
      </w:rPr>
      <w:instrText xml:space="preserve">PAGE  \* Arabic  \* MERGEFORMAT</w:instrText>
    </w:r>
    <w:r>
      <w:rPr>
        <w:color w:val="4874CB" w:themeColor="accent1"/>
        <w14:textFill>
          <w14:solidFill>
            <w14:schemeClr w14:val="accent1"/>
          </w14:solidFill>
        </w14:textFill>
      </w:rPr>
      <w:fldChar w:fldCharType="separate"/>
    </w:r>
    <w:r>
      <w:rPr>
        <w:color w:val="4874CB" w:themeColor="accent1"/>
        <w:lang w:val="zh-CN"/>
        <w14:textFill>
          <w14:solidFill>
            <w14:schemeClr w14:val="accent1"/>
          </w14:solidFill>
        </w14:textFill>
      </w:rPr>
      <w:t>2</w:t>
    </w:r>
    <w:r>
      <w:rPr>
        <w:color w:val="4874CB" w:themeColor="accent1"/>
        <w14:textFill>
          <w14:solidFill>
            <w14:schemeClr w14:val="accent1"/>
          </w14:solidFill>
        </w14:textFill>
      </w:rPr>
      <w:fldChar w:fldCharType="end"/>
    </w:r>
    <w:r>
      <w:rPr>
        <w:color w:val="4874CB" w:themeColor="accent1"/>
        <w:lang w:val="zh-CN"/>
        <w14:textFill>
          <w14:solidFill>
            <w14:schemeClr w14:val="accent1"/>
          </w14:solidFill>
        </w14:textFill>
      </w:rPr>
      <w:t xml:space="preserve"> / </w:t>
    </w:r>
    <w:r>
      <w:rPr>
        <w:color w:val="4874CB" w:themeColor="accent1"/>
        <w14:textFill>
          <w14:solidFill>
            <w14:schemeClr w14:val="accent1"/>
          </w14:solidFill>
        </w14:textFill>
      </w:rPr>
      <w:fldChar w:fldCharType="begin"/>
    </w:r>
    <w:r>
      <w:rPr>
        <w:color w:val="4874CB" w:themeColor="accent1"/>
        <w14:textFill>
          <w14:solidFill>
            <w14:schemeClr w14:val="accent1"/>
          </w14:solidFill>
        </w14:textFill>
      </w:rPr>
      <w:instrText xml:space="preserve">NUMPAGES  \* Arabic  \* MERGEFORMAT</w:instrText>
    </w:r>
    <w:r>
      <w:rPr>
        <w:color w:val="4874CB" w:themeColor="accent1"/>
        <w14:textFill>
          <w14:solidFill>
            <w14:schemeClr w14:val="accent1"/>
          </w14:solidFill>
        </w14:textFill>
      </w:rPr>
      <w:fldChar w:fldCharType="separate"/>
    </w:r>
    <w:r>
      <w:rPr>
        <w:color w:val="4874CB" w:themeColor="accent1"/>
        <w:lang w:val="zh-CN"/>
        <w14:textFill>
          <w14:solidFill>
            <w14:schemeClr w14:val="accent1"/>
          </w14:solidFill>
        </w14:textFill>
      </w:rPr>
      <w:t>2</w:t>
    </w:r>
    <w:r>
      <w:rPr>
        <w:color w:val="4874CB" w:themeColor="accent1"/>
        <w14:textFill>
          <w14:solidFill>
            <w14:schemeClr w14:val="accent1"/>
          </w14:solidFill>
        </w14:textFill>
      </w:rPr>
      <w:fldChar w:fldCharType="end"/>
    </w:r>
  </w:p>
  <w:p w14:paraId="6DF314C9">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38ACE">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D340">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0E6E7">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57A67">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9524A">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835"/>
    <w:rsid w:val="0027200D"/>
    <w:rsid w:val="003129FB"/>
    <w:rsid w:val="003332C2"/>
    <w:rsid w:val="00405FF7"/>
    <w:rsid w:val="00462521"/>
    <w:rsid w:val="0048669A"/>
    <w:rsid w:val="004D3D69"/>
    <w:rsid w:val="004F7759"/>
    <w:rsid w:val="005E302C"/>
    <w:rsid w:val="005F36AA"/>
    <w:rsid w:val="006F0479"/>
    <w:rsid w:val="00745835"/>
    <w:rsid w:val="00752704"/>
    <w:rsid w:val="007E2649"/>
    <w:rsid w:val="0095490F"/>
    <w:rsid w:val="00973BBA"/>
    <w:rsid w:val="009A6520"/>
    <w:rsid w:val="00C20E08"/>
    <w:rsid w:val="00C90C74"/>
    <w:rsid w:val="00D21023"/>
    <w:rsid w:val="00DB7293"/>
    <w:rsid w:val="00E0735B"/>
    <w:rsid w:val="00EB7975"/>
    <w:rsid w:val="00F60E7F"/>
    <w:rsid w:val="00FE5A65"/>
    <w:rsid w:val="00FF221A"/>
    <w:rsid w:val="07CF5D0E"/>
    <w:rsid w:val="08AE59AD"/>
    <w:rsid w:val="0E9C6FB2"/>
    <w:rsid w:val="15C53FEF"/>
    <w:rsid w:val="18AD747B"/>
    <w:rsid w:val="203B433A"/>
    <w:rsid w:val="225620E5"/>
    <w:rsid w:val="232A616E"/>
    <w:rsid w:val="2AFC781C"/>
    <w:rsid w:val="2DB53E94"/>
    <w:rsid w:val="2F4C403D"/>
    <w:rsid w:val="30E80862"/>
    <w:rsid w:val="32A70946"/>
    <w:rsid w:val="334A5BEB"/>
    <w:rsid w:val="33535BFB"/>
    <w:rsid w:val="3ABB7F26"/>
    <w:rsid w:val="3F6F3A52"/>
    <w:rsid w:val="41F06C31"/>
    <w:rsid w:val="441D3C30"/>
    <w:rsid w:val="47E051A9"/>
    <w:rsid w:val="4B2472FD"/>
    <w:rsid w:val="4D001A3A"/>
    <w:rsid w:val="51A952C7"/>
    <w:rsid w:val="56894552"/>
    <w:rsid w:val="5ADB7C15"/>
    <w:rsid w:val="5BD94488"/>
    <w:rsid w:val="5E7059EF"/>
    <w:rsid w:val="5F2B7CD4"/>
    <w:rsid w:val="641F6D3D"/>
    <w:rsid w:val="65493C57"/>
    <w:rsid w:val="65B440FE"/>
    <w:rsid w:val="65C95CC2"/>
    <w:rsid w:val="6692413C"/>
    <w:rsid w:val="6737159D"/>
    <w:rsid w:val="67BA5E4D"/>
    <w:rsid w:val="6A0B6667"/>
    <w:rsid w:val="6B1038BA"/>
    <w:rsid w:val="6C2E162F"/>
    <w:rsid w:val="6CC37CAB"/>
    <w:rsid w:val="6DC650D7"/>
    <w:rsid w:val="6F1057E5"/>
    <w:rsid w:val="6F7D3510"/>
    <w:rsid w:val="7481589E"/>
    <w:rsid w:val="7DEE1C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7"/>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Emphasis"/>
    <w:basedOn w:val="8"/>
    <w:qFormat/>
    <w:uiPriority w:val="0"/>
    <w:rPr>
      <w:i/>
    </w:rPr>
  </w:style>
  <w:style w:type="character" w:styleId="11">
    <w:name w:val="Hyperlink"/>
    <w:basedOn w:val="8"/>
    <w:qFormat/>
    <w:uiPriority w:val="0"/>
    <w:rPr>
      <w:color w:val="0000FF"/>
      <w:u w:val="single"/>
    </w:rPr>
  </w:style>
  <w:style w:type="paragraph" w:styleId="12">
    <w:name w:val="List Paragraph"/>
    <w:basedOn w:val="1"/>
    <w:unhideWhenUsed/>
    <w:qFormat/>
    <w:uiPriority w:val="99"/>
    <w:pPr>
      <w:ind w:firstLine="420" w:firstLineChars="200"/>
    </w:pPr>
  </w:style>
  <w:style w:type="character" w:customStyle="1" w:styleId="13">
    <w:name w:val="未处理的提及1"/>
    <w:basedOn w:val="8"/>
    <w:semiHidden/>
    <w:unhideWhenUsed/>
    <w:qFormat/>
    <w:uiPriority w:val="99"/>
    <w:rPr>
      <w:color w:val="605E5C"/>
      <w:shd w:val="clear" w:color="auto" w:fill="E1DFDD"/>
    </w:rPr>
  </w:style>
  <w:style w:type="paragraph" w:customStyle="1" w:styleId="14">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5">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6">
    <w:name w:val="Unresolved Mention"/>
    <w:basedOn w:val="8"/>
    <w:semiHidden/>
    <w:unhideWhenUsed/>
    <w:qFormat/>
    <w:uiPriority w:val="99"/>
    <w:rPr>
      <w:color w:val="605E5C"/>
      <w:shd w:val="clear" w:color="auto" w:fill="E1DFDD"/>
    </w:rPr>
  </w:style>
  <w:style w:type="character" w:customStyle="1" w:styleId="17">
    <w:name w:val="页脚 字符"/>
    <w:basedOn w:val="8"/>
    <w:link w:val="3"/>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1014</Words>
  <Characters>1078</Characters>
  <Lines>123</Lines>
  <Paragraphs>88</Paragraphs>
  <TotalTime>56</TotalTime>
  <ScaleCrop>false</ScaleCrop>
  <LinksUpToDate>false</LinksUpToDate>
  <CharactersWithSpaces>1082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2026-10-20T02:00:00Z</dcterms:created>
  <dc:creator>admin</dc:creator>
  <cp:lastModifiedBy>逸天</cp:lastModifiedBy>
  <cp:lastPrinted>2026-10-26T08:01:00Z</cp:lastPrinted>
  <dcterms:modified xsi:type="dcterms:W3CDTF">2026-10-28T01:24:01Z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eyJoZGlkIjoiZTcxY2JjNGJkMGQwNDEzYmZjNmI5MDI0YzRiNDc1MWUiLCJ1c2VySWQiOiIzMDkwNTE2NTMifQ==</vt:lpwstr>
  </property>
  <property fmtid="{D5CDD505-2E9C-101B-9397-08002B2CF9AE}" pid="4" name="ICV">
    <vt:lpwstr>A03A12D6D86342B19F4B259B554E3DBE_13</vt:lpwstr>
  </property>
</Properties>
</file>